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815CD4" w:rsidRDefault="00CF2F0C" w:rsidP="007F1935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2F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ВРЕМЕННОЕ ТЕХНОЛОГИЧЕСКОЕ ПРИСОЕДИНЕНИЕ К ЭЛЕКТРИЧЕСКИМ СЕТЯМ СЕТЕВОЙ ОРГАНИЗАЦИИ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8544A2">
        <w:trPr>
          <w:trHeight w:val="2549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1F2" w:rsidRPr="009641F2" w:rsidRDefault="00CF2F0C" w:rsidP="00CF2F0C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индивидуальный предприниматель или юридическое лицо в целях временного технологического присоединения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 третьей категории надежности электроснабжения на уровне напряжения ниже 35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до наступления установленного договором срока технологического присоединения (этапа технологического присоединения) с применением постоянной схемы, либо когда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являются передвижными и имеют максимальную мощность до 150 кВт включительно на срок до 12 месяцев.</w:t>
            </w:r>
          </w:p>
        </w:tc>
      </w:tr>
      <w:tr w:rsidR="00815CD4" w:rsidTr="008544A2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CF2F0C" w:rsidRPr="00CF2F0C" w:rsidRDefault="00CF2F0C" w:rsidP="00D87D02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технологическое присоединение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рассчитывается исходя из величины максимальной мощности присоединяемых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применением ставок за </w:t>
            </w:r>
            <w:r w:rsidR="00176CBF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кВт/ или стандартизированных тарифных ставок, установленных уполномоченным органом исполнительной власти в области государственного регулирования тарифов (</w:t>
            </w:r>
            <w:r w:rsidR="00D87D02" w:rsidRPr="00D87D02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ценам и тарифам Республики Крым</w:t>
            </w: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E49" w:rsidRDefault="00CF2F0C" w:rsidP="00CF2F0C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технологического присоединения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энергопринимающего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- размер платы составляет не более 550,00 рублей.</w:t>
            </w:r>
          </w:p>
          <w:p w:rsidR="008544A2" w:rsidRDefault="008544A2" w:rsidP="00CF2F0C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A2" w:rsidRPr="008544A2" w:rsidRDefault="008544A2" w:rsidP="008544A2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D4" w:rsidTr="008544A2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815CD4" w:rsidRPr="007B60AA" w:rsidRDefault="00CF2F0C" w:rsidP="00CF2F0C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Намерение заявителя осуществить временное технологическое присоединение на срок до 12 месяцев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 третьей категории надежности электроснабжения на уровне напряжения ниже 35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до наступления срока технологического присоединения по постоянной схеме, либо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являются передвижными и имеют максимальную мощность до 150 кВт включительно. Не допускается обеспечение электроснабжения введенных в </w:t>
            </w:r>
            <w:proofErr w:type="gram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эксплуатацию  объектов</w:t>
            </w:r>
            <w:proofErr w:type="gram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с использованием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      </w:r>
          </w:p>
        </w:tc>
      </w:tr>
      <w:tr w:rsidR="00815CD4" w:rsidTr="008544A2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РЕЗУЛЬТАТ ОКАЗАНИЯ УСЛУГИ (ПРОЦЕССА):</w:t>
            </w:r>
          </w:p>
          <w:p w:rsidR="00815CD4" w:rsidRDefault="00CF2F0C" w:rsidP="00CF2F0C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color w:val="2F5496" w:themeColor="accent1" w:themeShade="BF"/>
                <w:sz w:val="22"/>
              </w:rPr>
            </w:pPr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</w:t>
            </w:r>
            <w:proofErr w:type="spellStart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F2F0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заявителя по временной схеме электроснабжения.</w:t>
            </w:r>
          </w:p>
        </w:tc>
      </w:tr>
      <w:tr w:rsidR="00B75E49" w:rsidTr="008544A2">
        <w:trPr>
          <w:trHeight w:val="1283"/>
        </w:trPr>
        <w:tc>
          <w:tcPr>
            <w:tcW w:w="14879" w:type="dxa"/>
          </w:tcPr>
          <w:p w:rsidR="00FE65C0" w:rsidRPr="00FE65C0" w:rsidRDefault="00B75E49" w:rsidP="00FE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ОБЩИЙ СРОК ОКАЗАНИЯ УСЛУГИ (ПРОЦЕССА): </w:t>
            </w:r>
          </w:p>
          <w:p w:rsidR="00CF2F0C" w:rsidRPr="00D87D02" w:rsidRDefault="00EE4C47" w:rsidP="00D87D02">
            <w:pPr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F2F0C"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CF2F0C" w:rsidRPr="00D87D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F2F0C"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включительно, если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CF2F0C" w:rsidRPr="00D87D02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="00CF2F0C"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</w:p>
          <w:p w:rsidR="00CF2F0C" w:rsidRPr="00D87D02" w:rsidRDefault="00CF2F0C" w:rsidP="00D87D02">
            <w:pPr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не может превышать:</w:t>
            </w:r>
          </w:p>
          <w:p w:rsidR="00CF2F0C" w:rsidRPr="00D87D02" w:rsidRDefault="00CF2F0C" w:rsidP="00D87D02">
            <w:pPr>
              <w:pStyle w:val="ab"/>
              <w:tabs>
                <w:tab w:val="left" w:pos="567"/>
              </w:tabs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15 рабочих дней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организации;</w:t>
            </w:r>
          </w:p>
          <w:p w:rsidR="00CF2F0C" w:rsidRPr="00D87D02" w:rsidRDefault="00CF2F0C" w:rsidP="00D87D02">
            <w:pPr>
              <w:pStyle w:val="ConsPlusNormal"/>
              <w:tabs>
                <w:tab w:val="left" w:pos="567"/>
              </w:tabs>
              <w:ind w:left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4 месяца 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- для заявителей, максимальная мощность </w:t>
            </w:r>
            <w:proofErr w:type="spellStart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которых составляет до 670 кВт включительно.</w:t>
            </w:r>
          </w:p>
          <w:p w:rsidR="00CF2F0C" w:rsidRPr="00D87D02" w:rsidRDefault="00CF2F0C" w:rsidP="00D87D02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>в иных случаях:</w:t>
            </w:r>
          </w:p>
          <w:p w:rsidR="00CF2F0C" w:rsidRPr="00D87D02" w:rsidRDefault="00CF2F0C" w:rsidP="00D87D02">
            <w:pPr>
              <w:tabs>
                <w:tab w:val="left" w:pos="993"/>
              </w:tabs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</w:t>
            </w:r>
            <w:r w:rsidR="008544A2"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76CBF"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>15 рабочих дней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(если в заявке не указан более продолжительный срок) - при 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временном технологическом присоединении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заявителей, </w:t>
            </w:r>
            <w:proofErr w:type="spellStart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которых являются 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передвижными и имеют </w:t>
            </w:r>
            <w:r w:rsidRPr="00D87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максимальную мощность до 150 кВт</w:t>
            </w:r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включительно, если расстояние от </w:t>
            </w:r>
            <w:proofErr w:type="spellStart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>энергопринимающего</w:t>
            </w:r>
            <w:proofErr w:type="spellEnd"/>
            <w:r w:rsidRPr="00D87D0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метров.</w:t>
            </w:r>
          </w:p>
          <w:p w:rsidR="00CF2F0C" w:rsidRPr="00D87D02" w:rsidRDefault="00CF2F0C" w:rsidP="00D87D02">
            <w:pPr>
              <w:tabs>
                <w:tab w:val="left" w:pos="993"/>
              </w:tabs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     6 месяцев - </w:t>
            </w:r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энергопринимающие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</w:p>
          <w:p w:rsidR="00CF2F0C" w:rsidRPr="00D87D02" w:rsidRDefault="00CF2F0C" w:rsidP="00D87D02">
            <w:pPr>
              <w:pStyle w:val="ab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880"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заявителей, максимальная мощность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питания (для физических лиц);  </w:t>
            </w:r>
          </w:p>
          <w:p w:rsidR="00CF2F0C" w:rsidRPr="00D87D02" w:rsidRDefault="00CF2F0C" w:rsidP="00D87D02">
            <w:pPr>
              <w:pStyle w:val="ab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880"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заявителей, максимальная мощность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энергопринимающих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устройств) (для юридических лиц или индивидуальных предпринимателей) и электроснабжение которых предусматривается по одному источнику питания; </w:t>
            </w:r>
          </w:p>
          <w:p w:rsidR="00CF2F0C" w:rsidRPr="00D87D02" w:rsidRDefault="00CF2F0C" w:rsidP="00D87D02">
            <w:pPr>
              <w:pStyle w:val="ab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880"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заявителей, </w:t>
            </w:r>
            <w:proofErr w:type="spell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энергопринимающие</w:t>
            </w:r>
            <w:proofErr w:type="spell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устройства которых присоединены в установленном порядке до 01.01.2009, которые перераспределяют объем снижения максимальной мощности в пользу иных </w:t>
            </w:r>
            <w:proofErr w:type="gramStart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лиц,  в</w:t>
            </w:r>
            <w:proofErr w:type="gramEnd"/>
            <w:r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пределах действия соответствующего центра питания</w:t>
            </w:r>
            <w:r w:rsidRPr="00D8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B75E49" w:rsidRPr="008544A2" w:rsidRDefault="008544A2" w:rsidP="00D87D02">
            <w:pPr>
              <w:tabs>
                <w:tab w:val="left" w:pos="993"/>
              </w:tabs>
              <w:autoSpaceDE w:val="0"/>
              <w:autoSpaceDN w:val="0"/>
              <w:adjustRightInd w:val="0"/>
              <w:ind w:left="88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8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CF2F0C" w:rsidRPr="00D8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    1 год - </w:t>
            </w:r>
            <w:r w:rsidR="00CF2F0C"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заявителей, максимальная мощность </w:t>
            </w:r>
            <w:proofErr w:type="spellStart"/>
            <w:r w:rsidR="00CF2F0C"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энергопринимающих</w:t>
            </w:r>
            <w:proofErr w:type="spellEnd"/>
            <w:r w:rsidR="00CF2F0C" w:rsidRPr="00D87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 которых составляет менее 670 кВт.</w:t>
            </w: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D87D02" w:rsidRDefault="00D87D02" w:rsidP="00815CD4">
      <w:pPr>
        <w:rPr>
          <w:color w:val="2F5496" w:themeColor="accent1" w:themeShade="BF"/>
          <w:sz w:val="22"/>
        </w:rPr>
      </w:pPr>
    </w:p>
    <w:p w:rsidR="00FE65C0" w:rsidRPr="00A33D8A" w:rsidRDefault="00FE65C0" w:rsidP="009641F2">
      <w:pPr>
        <w:ind w:left="171" w:right="284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lastRenderedPageBreak/>
        <w:t>СОСТАВ, ПОСЛЕДОВАТЕЛЬНОСТЬ И СРОКИ ОКАЗАНИЯ УСЛУГИ (ПРОЦЕССА):</w:t>
      </w:r>
    </w:p>
    <w:tbl>
      <w:tblPr>
        <w:tblStyle w:val="-11"/>
        <w:tblW w:w="5403" w:type="pct"/>
        <w:tblInd w:w="-577" w:type="dxa"/>
        <w:tblLayout w:type="fixed"/>
        <w:tblLook w:val="00A0" w:firstRow="1" w:lastRow="0" w:firstColumn="1" w:lastColumn="0" w:noHBand="0" w:noVBand="0"/>
      </w:tblPr>
      <w:tblGrid>
        <w:gridCol w:w="460"/>
        <w:gridCol w:w="25"/>
        <w:gridCol w:w="1934"/>
        <w:gridCol w:w="2544"/>
        <w:gridCol w:w="2837"/>
        <w:gridCol w:w="2412"/>
        <w:gridCol w:w="2689"/>
        <w:gridCol w:w="2824"/>
      </w:tblGrid>
      <w:tr w:rsidR="00EE7060" w:rsidRPr="00767430" w:rsidTr="00EE7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tcBorders>
              <w:top w:val="single" w:sz="8" w:space="0" w:color="4472C4" w:themeColor="accent1"/>
              <w:bottom w:val="double" w:sz="4" w:space="0" w:color="4472C4" w:themeColor="accent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09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7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98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</w:tcBorders>
          </w:tcPr>
          <w:p w:rsidR="00176CBF" w:rsidRPr="00767430" w:rsidRDefault="00176CBF" w:rsidP="0089456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D87D02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gridSpan w:val="2"/>
            <w:vMerge w:val="restar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9" w:type="pc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1.1.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технологическое присоединение по временной схеме электроснабжения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письменная или электронная</w:t>
            </w:r>
          </w:p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898" w:type="pct"/>
            <w:tcBorders>
              <w:top w:val="double" w:sz="4" w:space="0" w:color="4472C4" w:themeColor="accent1"/>
            </w:tcBorders>
          </w:tcPr>
          <w:p w:rsidR="00176CBF" w:rsidRPr="0097003A" w:rsidRDefault="00176CBF" w:rsidP="0089456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Пункты 7 (а), 8, 9, 10, </w:t>
            </w: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34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gridSpan w:val="2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направляет уведомление заявителю о недостающих сведениях и/или документах к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 для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от заявителя недостающих сведений и (или) документов в течение 20 рабочих дней с даты получения уведомления и приостанавливает рассмотрение заявки до   получения недостающих сведений и документов.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после получения заявки. При </w:t>
            </w:r>
            <w:proofErr w:type="spell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недостающих сведений и документов заявителем в течение 20 рабочих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 со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получения уведомления, сетевая организация аннулирует заявку и уведомляет об этом заявителя в течение 3  рабочих дней со дня принятия решения об аннулировании заявки.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 w:val="restart"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об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технологического присоединения к электрическим сетям</w:t>
            </w:r>
          </w:p>
        </w:tc>
        <w:tc>
          <w:tcPr>
            <w:tcW w:w="809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2.1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Направление (выдача при очном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посещении офиса обслуживания) сетевой организацией для подписания заявителем заполненного и подписанного проекта договора об осуществлении технологического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 2 экземплярах.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проекта договора,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подписанного со стороны сетевой организации, направляется способом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дней со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 получения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заявки. </w:t>
            </w:r>
          </w:p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 отсутствия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 (документов) в течение 10 дней с даты  получения недостающих сведений и (или) документов.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proofErr w:type="gram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двух  экземпляров</w:t>
            </w:r>
            <w:proofErr w:type="gram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дней с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 получения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сетевой организацией  проекта договора.  При несогласии с проектом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 заявитель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в течение 10 рабочих дней  с даты его получения направить мотивированный отказ  от подписания проекта договора с предложением о  его изменении и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требованием о приведении его в соответствие с Правилами ТП. При </w:t>
            </w:r>
            <w:proofErr w:type="spell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ненаправлении</w:t>
            </w:r>
            <w:proofErr w:type="spell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проекта договора или мотивированного отказа от его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,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ранее чем через 30 рабочих дней с даты получения проекта договора заявителем </w:t>
            </w:r>
          </w:p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заявка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аннулируется.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 xml:space="preserve">2.3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отказа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подписания проекта договора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рабочих дней с даты получения от заявителя мотивированного отказа с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 о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приведении проекта договора в соответствие с Правилами ТП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2.4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договора, а также копию заявки и копии представленных документов заявителем (для категории заявителей с максимальной мощностью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до 670 кВт включительно указание в заявке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 которой заявитель намерен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заключить договор, обеспечивающий продажу электрической энергии (мощности), является обязательным, свыше 670 кВт – по желанию заявителя).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pStyle w:val="ab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 (с даты поступления подписанного заявителем проекта договора в сетевую организацию).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 15 (1)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 w:val="restart"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9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3.1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8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 16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8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3.3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документов: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а) копии сертификатов соответствия на электрооборудовани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автоматике, телемеханике и связи, в случае если такая проектная документация не была представлена заявителем в сетевую организацию до направления уведомления о выполнении технических условий (если в соответствии с законодательством  РФ о градостроительной деятельности разработка проектной документации является обязательной).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документы, содержащие информацию о результатах проведения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пусконаладочных работ, приемо-сдаточных и иных испытаний;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г) нормальные (временные нормальные) схемы электрических соединений объекта электроэнергетики</w:t>
            </w:r>
            <w:r w:rsidRPr="0097003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выполнения технических условий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Пункты 85, 86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 w:val="restart"/>
          </w:tcPr>
          <w:p w:rsidR="00176CBF" w:rsidRPr="0097003A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809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заявителем в адрес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4.1.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электроустановок заявителей. Мероприятия по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выполнения технических условий проводятся непосредственно в день проведения осмотра</w:t>
            </w:r>
          </w:p>
        </w:tc>
        <w:tc>
          <w:tcPr>
            <w:tcW w:w="767" w:type="pct"/>
          </w:tcPr>
          <w:p w:rsidR="00176CBF" w:rsidRPr="0097003A" w:rsidRDefault="00F367EC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6CBF" w:rsidRPr="0097003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176CBF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технических условий в письменной форме в 2 экземплярах.</w:t>
            </w:r>
          </w:p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При невыполнении требований технических условий сетевая организация составляет перечень замечаний в письменной форме и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получения от заявителя уведомления о выполнении технических условий).</w:t>
            </w: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Пункты 83-90 Правил технологического присоединения </w:t>
            </w:r>
            <w:proofErr w:type="spell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7003A" w:rsidRDefault="00176CBF" w:rsidP="0089456F">
            <w:pPr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7003A" w:rsidDel="00CF73B9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76CBF" w:rsidRPr="0097003A" w:rsidRDefault="00176CBF" w:rsidP="0089456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Если представители субъекта оперативно-диспетчерского управления участвуют в осмотре электроустановки заявителя и объектов электросетевого хозяйства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4.2.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 Направление уведомления заявителя о готовности к проверке выполнения технических условий в адрес субъекта оперативно-диспетчерского управления.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Согласование Акта о выполнении технических условий с субъектом оперативно-диспетчерского управления по результатам проверки до его направления в 3 экземплярах заявителю.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Письменная форма копии уведомления заявителя и копии приложенных к нему документов.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Письменная форма уведомления о дате проведения осмотра электроустановок заявителя и (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или)  объектов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 сетевой организации - не позднее чем за  5 рабочих дней до даты проведения осмотра.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течение 2 дней с даты получения от заявителя уведомления о выполнении технических условий. Решение об участии субъекта оперативно-диспетчерского управления направляется в сетевую организацию не позднее 2 рабочих дней до дня его проведения.</w:t>
            </w:r>
          </w:p>
          <w:p w:rsidR="00176CBF" w:rsidRPr="009402D6" w:rsidDel="00CF73B9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Срок выполнения проверки технических условий не должен превышать 25 дней с даты получения уведомления заявителя о выполнении технических условий.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п.102 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заявителем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4.3.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электроустановок заявителей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 в технических условиях.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176CBF" w:rsidRPr="009402D6" w:rsidRDefault="00F367EC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6CBF" w:rsidRPr="009402D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176CBF"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технических условий в письменной форме в 3 экземплярах.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отдельном перечне, составляемом и передаваемом заявителю.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84 - 90 Правил технологического присоединения </w:t>
            </w:r>
            <w:proofErr w:type="spellStart"/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</w:t>
            </w:r>
            <w:r w:rsidRPr="009402D6" w:rsidDel="00E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невыполнения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 с приложением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4.4.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67" w:type="pct"/>
          </w:tcPr>
          <w:p w:rsidR="00176CBF" w:rsidRPr="009402D6" w:rsidRDefault="00F367EC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6CBF" w:rsidRPr="009402D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176CBF"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технических условий в письменной форме.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Пункты 89, 97, 98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4.5.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 Прием в эксплуатацию прибора учета.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сторонами  и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Акта допуска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эксплуатацию прибора учета.</w:t>
            </w:r>
          </w:p>
        </w:tc>
        <w:tc>
          <w:tcPr>
            <w:tcW w:w="767" w:type="pct"/>
          </w:tcPr>
          <w:p w:rsidR="00176CBF" w:rsidRPr="009402D6" w:rsidRDefault="00F367EC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6CBF" w:rsidRPr="009402D6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176CBF"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день проведения осмотра присоединяемых электроустановок заявителя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9402D6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  <w:vAlign w:val="center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выполнения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заявителем  требований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заявке  был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 подписанный заявителем проект договора, обеспечивающего продажу электрической энергии (мощности), сетевая организация выдает заявителю один экземпляр подписанного гарантирующим поставщиком договора, обеспечивающего продажу электрической энергии (мощности)  (или протокол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разногласий к проекту договора). Сетевая организация получившая отказ гарантирующего поставщика от заключения договора, обеспечивающего продажу электрической энергии (мощности), направляет информацию с указанием причин отказа заявителю.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4.6.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(выдача) заявителю Акта о выполнении технических условий в 2 экземплярах. Вместе с Актом о выполнении технических условий сетевая организация выдать заявителю 2 экземпляра подписанного гарантирующим поставщиком проекта договора, обеспечивающего продажу электрической энергии (мощности), либо один экземпляр подписанного гарантирующим поставщиком договора, обеспечивающего продажу электрической энергии (мощности), если к заявке заявителем был приложен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подписанный заявителем проект договора (или протокола разногласий соответственно), обеспечивающего продажу электрической энергии (мощности), по которому у гарантирующего поставщика отсутствуют возражения.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 выполнении технических условий в письменной форме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осмотра 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 88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  <w:vAlign w:val="center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 xml:space="preserve">4.7.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выдаются заявителю в офисе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проведения осмотра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Пункты 88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 w:val="restart"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5.1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353">
              <w:rPr>
                <w:rFonts w:ascii="Times New Roman" w:hAnsi="Times New Roman" w:cs="Times New Roman"/>
                <w:sz w:val="24"/>
                <w:szCs w:val="24"/>
              </w:rPr>
              <w:t>Установка сетевой организацией прибора учёта, о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Пункты 7 «д»,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  <w:vAlign w:val="center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5.2.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организацией и направление (выдача) заявителю: 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Акты об осуществлении технологического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присоединения  в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направляются </w:t>
            </w:r>
            <w:r w:rsidRPr="0094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договора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 7 «е»,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19  Правил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5.3.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подписанных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Актов об осуществлении технологического присоединения  в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энергосбытовую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после предоставления </w:t>
            </w:r>
            <w:proofErr w:type="gram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сетевую организацию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 19 (1)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 w:val="restart"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Отсоединение объектов заявителя от электрических сетей</w:t>
            </w:r>
          </w:p>
        </w:tc>
        <w:tc>
          <w:tcPr>
            <w:tcW w:w="809" w:type="pct"/>
            <w:vMerge w:val="restar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 обращению заявителя, поданному не позднее 10 дней до планируемой даты </w:t>
            </w:r>
            <w:bookmarkStart w:id="0" w:name="_GoBack"/>
            <w:bookmarkEnd w:id="0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отсоединения;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6.1.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Не позднее, чем за 10 рабочих дней до дня отсоединения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 55, 56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6.2.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 Выполнение работ по отсоединению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 на срок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до 12 месяцев (если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являются передвижными и имеют максимальную мощность до 150 кВт);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при наступлении срока технологического присоединения с применением постоянной схемы электроснабжения в соответствии с условиями договора</w:t>
            </w:r>
          </w:p>
        </w:tc>
        <w:tc>
          <w:tcPr>
            <w:tcW w:w="898" w:type="pct"/>
          </w:tcPr>
          <w:p w:rsidR="00176CBF" w:rsidRPr="009402D6" w:rsidRDefault="00176CBF" w:rsidP="0089456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55, 56 Правил технологического 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176CBF" w:rsidRPr="00767430" w:rsidTr="00EE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gridSpan w:val="2"/>
            <w:vMerge/>
          </w:tcPr>
          <w:p w:rsidR="00176CBF" w:rsidRPr="009402D6" w:rsidRDefault="00176CBF" w:rsidP="008945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6.3.</w:t>
            </w: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 Выдача Сетевой организацией Акта об отсоединении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заявителю и направление Акта в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энергосбытовую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767" w:type="pct"/>
          </w:tcPr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pct"/>
          </w:tcPr>
          <w:p w:rsidR="00176CBF" w:rsidRPr="009402D6" w:rsidRDefault="00176CBF" w:rsidP="008945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осуществления отсоединения (после завершения мероприятий по введению полного ограничения режима потребления электрической энергии).</w:t>
            </w:r>
          </w:p>
          <w:p w:rsidR="00176CBF" w:rsidRPr="009402D6" w:rsidRDefault="00176CBF" w:rsidP="0089456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76CBF" w:rsidRPr="009402D6" w:rsidRDefault="00176CBF" w:rsidP="0089456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Пункт 56 Правил технологического присоединения </w:t>
            </w:r>
            <w:proofErr w:type="spellStart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402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8544A2">
      <w:headerReference w:type="default" r:id="rId14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EC" w:rsidRDefault="00F367EC" w:rsidP="000A101C">
      <w:r>
        <w:separator/>
      </w:r>
    </w:p>
  </w:endnote>
  <w:endnote w:type="continuationSeparator" w:id="0">
    <w:p w:rsidR="00F367EC" w:rsidRDefault="00F367EC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EC" w:rsidRDefault="00F367EC" w:rsidP="000A101C">
      <w:r>
        <w:separator/>
      </w:r>
    </w:p>
  </w:footnote>
  <w:footnote w:type="continuationSeparator" w:id="0">
    <w:p w:rsidR="00F367EC" w:rsidRDefault="00F367EC" w:rsidP="000A101C">
      <w:r>
        <w:continuationSeparator/>
      </w:r>
    </w:p>
  </w:footnote>
  <w:footnote w:id="1">
    <w:p w:rsidR="00176CBF" w:rsidRDefault="00176CBF" w:rsidP="00176CBF">
      <w:pPr>
        <w:autoSpaceDE w:val="0"/>
        <w:autoSpaceDN w:val="0"/>
        <w:adjustRightInd w:val="0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Документы, указанные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 номинальным напряжением не выше 380 В.</w:t>
      </w:r>
    </w:p>
  </w:footnote>
  <w:footnote w:id="2">
    <w:p w:rsidR="00176CBF" w:rsidRDefault="00176CBF" w:rsidP="00176CBF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lang w:eastAsia="ru-RU"/>
        </w:rPr>
        <w:t>Основ</w:t>
      </w:r>
      <w:r>
        <w:rPr>
          <w:rFonts w:ascii="Times New Roman" w:eastAsia="Times New Roman" w:hAnsi="Times New Roman" w:cs="Times New Roman"/>
          <w:lang w:eastAsia="ru-RU"/>
        </w:rPr>
        <w:t>ные положения</w:t>
      </w:r>
      <w:r w:rsidRPr="00C8718B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868F1"/>
    <w:rsid w:val="000A101C"/>
    <w:rsid w:val="000B3BE8"/>
    <w:rsid w:val="000B50A2"/>
    <w:rsid w:val="00120F1D"/>
    <w:rsid w:val="00176CBF"/>
    <w:rsid w:val="00330D67"/>
    <w:rsid w:val="00372F95"/>
    <w:rsid w:val="003D2845"/>
    <w:rsid w:val="004123D3"/>
    <w:rsid w:val="00443A66"/>
    <w:rsid w:val="00597AC5"/>
    <w:rsid w:val="006636B3"/>
    <w:rsid w:val="00684FAA"/>
    <w:rsid w:val="0073777E"/>
    <w:rsid w:val="0075470B"/>
    <w:rsid w:val="007B60AA"/>
    <w:rsid w:val="007D3C77"/>
    <w:rsid w:val="007E4639"/>
    <w:rsid w:val="007F1935"/>
    <w:rsid w:val="00815CD4"/>
    <w:rsid w:val="008544A2"/>
    <w:rsid w:val="009641F2"/>
    <w:rsid w:val="009E052B"/>
    <w:rsid w:val="00A32212"/>
    <w:rsid w:val="00AB3951"/>
    <w:rsid w:val="00B75E49"/>
    <w:rsid w:val="00C35008"/>
    <w:rsid w:val="00CF2F0C"/>
    <w:rsid w:val="00D87D02"/>
    <w:rsid w:val="00DB22E0"/>
    <w:rsid w:val="00DB72C9"/>
    <w:rsid w:val="00E5585E"/>
    <w:rsid w:val="00ED3877"/>
    <w:rsid w:val="00EE4C47"/>
    <w:rsid w:val="00EE7060"/>
    <w:rsid w:val="00F146F5"/>
    <w:rsid w:val="00F367EC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ConsPlusNormal">
    <w:name w:val="ConsPlusNormal"/>
    <w:rsid w:val="00CF2F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C0784-2FB1-4FEA-B68F-B3CA6DA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11</cp:revision>
  <cp:lastPrinted>2021-09-21T10:17:00Z</cp:lastPrinted>
  <dcterms:created xsi:type="dcterms:W3CDTF">2022-01-12T12:54:00Z</dcterms:created>
  <dcterms:modified xsi:type="dcterms:W3CDTF">2022-01-19T10:52:00Z</dcterms:modified>
</cp:coreProperties>
</file>